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D6" w:rsidRPr="00E905D6" w:rsidRDefault="00A728D6" w:rsidP="00A728D6">
      <w:pPr>
        <w:tabs>
          <w:tab w:val="left" w:pos="71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5D6">
        <w:rPr>
          <w:rFonts w:ascii="Times New Roman" w:hAnsi="Times New Roman" w:cs="Times New Roman"/>
          <w:b/>
          <w:bCs/>
          <w:sz w:val="28"/>
          <w:szCs w:val="28"/>
        </w:rPr>
        <w:t>Разъясняет прокуратура Каменского района</w:t>
      </w:r>
      <w:r w:rsidRPr="00E905D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728D6" w:rsidRDefault="00A728D6" w:rsidP="00F2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57C" w:rsidRPr="00F2557C" w:rsidRDefault="00F2557C" w:rsidP="00F2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7C">
        <w:rPr>
          <w:rFonts w:ascii="Times New Roman" w:hAnsi="Times New Roman" w:cs="Times New Roman"/>
          <w:sz w:val="28"/>
          <w:szCs w:val="28"/>
        </w:rPr>
        <w:t xml:space="preserve">В апреле 2019 г. стартовал проводимый прокуратурой Свердловской области профилактический </w:t>
      </w:r>
      <w:proofErr w:type="spellStart"/>
      <w:r w:rsidRPr="00F2557C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F2557C">
        <w:rPr>
          <w:rFonts w:ascii="Times New Roman" w:hAnsi="Times New Roman" w:cs="Times New Roman"/>
          <w:sz w:val="28"/>
          <w:szCs w:val="28"/>
        </w:rPr>
        <w:t xml:space="preserve"> месячник «Соблюдай закон». </w:t>
      </w:r>
      <w:proofErr w:type="spellStart"/>
      <w:r w:rsidRPr="00F2557C">
        <w:rPr>
          <w:rFonts w:ascii="Times New Roman" w:hAnsi="Times New Roman" w:cs="Times New Roman"/>
          <w:sz w:val="28"/>
          <w:szCs w:val="28"/>
        </w:rPr>
        <w:t>Правопросветительские</w:t>
      </w:r>
      <w:proofErr w:type="spellEnd"/>
      <w:r w:rsidRPr="00F2557C">
        <w:rPr>
          <w:rFonts w:ascii="Times New Roman" w:hAnsi="Times New Roman" w:cs="Times New Roman"/>
          <w:sz w:val="28"/>
          <w:szCs w:val="28"/>
        </w:rPr>
        <w:t xml:space="preserve"> мероприятия  органов прокуратуры, органов местного самоуправления, общественных объединений и институтов гражданского общества должны быть направлены на выработку у государственных и муниципальных служащих антикоррупционных стандартов поведения, на повышение уровня правосознания граждан, на создание в обществе нетерпимости к коррупционным проявлениям  и содействие их пресечению, разъяснению ответственности за коррупционные правонарушения.</w:t>
      </w:r>
    </w:p>
    <w:p w:rsidR="003B6D90" w:rsidRDefault="003B6D90" w:rsidP="003B6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  <w:r w:rsidRPr="0050236B">
        <w:rPr>
          <w:rFonts w:ascii="Times New Roman" w:hAnsi="Times New Roman" w:cs="Times New Roman"/>
          <w:sz w:val="28"/>
          <w:szCs w:val="28"/>
        </w:rPr>
        <w:t xml:space="preserve">В России центральное место в реализации </w:t>
      </w:r>
      <w:proofErr w:type="spellStart"/>
      <w:r w:rsidRPr="0050236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0236B">
        <w:rPr>
          <w:rFonts w:ascii="Times New Roman" w:hAnsi="Times New Roman" w:cs="Times New Roman"/>
          <w:sz w:val="28"/>
          <w:szCs w:val="28"/>
        </w:rPr>
        <w:t xml:space="preserve"> законодательства и обеспечении его неукоснительного соблюдения отводится органам прокуратуры. </w:t>
      </w:r>
      <w:r w:rsidRPr="0050236B">
        <w:rPr>
          <w:rFonts w:ascii="Times New Roman" w:hAnsi="Times New Roman" w:cs="Times New Roman"/>
          <w:iCs/>
          <w:sz w:val="28"/>
          <w:szCs w:val="28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  <w:r w:rsidRPr="0050236B">
        <w:rPr>
          <w:rFonts w:ascii="Times New Roman" w:hAnsi="Times New Roman" w:cs="Times New Roman"/>
          <w:sz w:val="28"/>
          <w:szCs w:val="28"/>
        </w:rPr>
        <w:t xml:space="preserve"> Органы прокуратуры осуществляют свою </w:t>
      </w:r>
      <w:proofErr w:type="spellStart"/>
      <w:r w:rsidRPr="0050236B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деятельность на основании Конституции Российской Федерации,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закона от 17 января 1992 г. № 2202-I «О прокуратуре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25 декабря 2008 г. № 273-ФЗ «О противодействии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коррупции», иных федеральных законов и утверждаемого Президентом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Национального плана противодействия коррупции.</w:t>
      </w:r>
      <w:r w:rsidRPr="004D33D4">
        <w:rPr>
          <w:rFonts w:ascii="Times New Roman" w:hAnsi="Times New Roman" w:cs="Times New Roman"/>
          <w:b/>
          <w:bCs/>
          <w:color w:val="3366FF"/>
          <w:sz w:val="28"/>
          <w:szCs w:val="28"/>
        </w:rPr>
        <w:t xml:space="preserve"> </w:t>
      </w:r>
    </w:p>
    <w:p w:rsidR="003B6D90" w:rsidRDefault="003B6D90" w:rsidP="003B6D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D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прокуратуры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укрепление законности, защиту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и свобод граждан, прав и законных интересов юридических лиц (организаций),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охраняемых законом интересов общества и государства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реализации комплекса мер, обеспечивающего эффективное противодействие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коррупционным проявлениям.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36B">
        <w:rPr>
          <w:rFonts w:ascii="Times New Roman" w:hAnsi="Times New Roman" w:cs="Times New Roman"/>
          <w:bCs/>
          <w:color w:val="000000"/>
          <w:sz w:val="28"/>
          <w:szCs w:val="28"/>
        </w:rPr>
        <w:t>В этих целях  выполняются задачи по обеспечению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прокурорского надзора за исполнением законодательства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противодействии коррупции;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своевременного предупреждения средствами прокурорского 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правонарушений, выявления и устранения их причин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условий;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прокурорского надзора за уголовно-процессуальной деятельностью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следственных органов и исполнением законодательства об оперативно-розыскной деятельности оперативными подразделениями правоохранительных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органов (за исключением органов федеральной службы безопасности);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привлечения к предусмотренной законом ответственности лиц, виновных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в совершении коррупционных правонарушений;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защиты и восстановления нарушенных в результате коррупционных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правонарушений прав, свобод и законных интересов граждан и 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охраняемых законом интересов Российской Федерации, субъектов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Федерации, муниципальных образований в уголовном, гражданском,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 xml:space="preserve">арбитражном и административном судопроизводстве в пределах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полномочий,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предоставленных законодательством; возмещения вреда, причиненного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color w:val="000000"/>
          <w:sz w:val="28"/>
          <w:szCs w:val="28"/>
        </w:rPr>
        <w:t>коррупционными правонарушениями.</w:t>
      </w:r>
    </w:p>
    <w:p w:rsidR="003B6D90" w:rsidRPr="004D33D4" w:rsidRDefault="003B6D90" w:rsidP="003B6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D4">
        <w:rPr>
          <w:rFonts w:ascii="Times New Roman" w:hAnsi="Times New Roman" w:cs="Times New Roman"/>
          <w:sz w:val="28"/>
          <w:szCs w:val="28"/>
        </w:rPr>
        <w:t xml:space="preserve">Федеральный закон от 25.12.2008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D33D4">
        <w:rPr>
          <w:rFonts w:ascii="Times New Roman" w:hAnsi="Times New Roman" w:cs="Times New Roman"/>
          <w:sz w:val="28"/>
          <w:szCs w:val="28"/>
        </w:rPr>
        <w:t>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3B6D90" w:rsidRPr="004D33D4" w:rsidRDefault="003B6D90" w:rsidP="003B6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D4">
        <w:rPr>
          <w:rFonts w:ascii="Times New Roman" w:hAnsi="Times New Roman" w:cs="Times New Roman"/>
          <w:sz w:val="28"/>
          <w:szCs w:val="28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</w:t>
      </w:r>
      <w:proofErr w:type="spellStart"/>
      <w:r w:rsidRPr="004D33D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D33D4">
        <w:rPr>
          <w:rFonts w:ascii="Times New Roman" w:hAnsi="Times New Roman" w:cs="Times New Roman"/>
          <w:sz w:val="28"/>
          <w:szCs w:val="28"/>
        </w:rPr>
        <w:t xml:space="preserve"> поведения гражданина.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3D4">
        <w:rPr>
          <w:rFonts w:ascii="Times New Roman" w:hAnsi="Times New Roman" w:cs="Times New Roman"/>
          <w:sz w:val="28"/>
          <w:szCs w:val="28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3B6D90" w:rsidRPr="004D33D4" w:rsidRDefault="003B6D90" w:rsidP="003B6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D4">
        <w:rPr>
          <w:rFonts w:ascii="Times New Roman" w:hAnsi="Times New Roman" w:cs="Times New Roman"/>
          <w:sz w:val="28"/>
          <w:szCs w:val="28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4D33D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D33D4">
        <w:rPr>
          <w:rFonts w:ascii="Times New Roman" w:hAnsi="Times New Roman" w:cs="Times New Roman"/>
          <w:sz w:val="28"/>
          <w:szCs w:val="28"/>
        </w:rPr>
        <w:t xml:space="preserve"> поведения служащих, популяризацию в обществе антикоррупционных стандартов и развитие общественного правосознания.</w:t>
      </w:r>
    </w:p>
    <w:p w:rsidR="003B6D90" w:rsidRDefault="003B6D90" w:rsidP="003B6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D4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4D33D4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33D4">
        <w:rPr>
          <w:rFonts w:ascii="Times New Roman" w:hAnsi="Times New Roman" w:cs="Times New Roman"/>
          <w:sz w:val="28"/>
          <w:szCs w:val="28"/>
        </w:rPr>
        <w:t xml:space="preserve">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F07" w:rsidRDefault="00B23F07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C65">
        <w:rPr>
          <w:rFonts w:ascii="Times New Roman" w:hAnsi="Times New Roman" w:cs="Times New Roman"/>
          <w:b/>
          <w:bCs/>
          <w:sz w:val="28"/>
          <w:szCs w:val="28"/>
        </w:rPr>
        <w:t>Как правильно составить справку о доходах, расходах, об имуществе и обязательствах имущественного характера?</w:t>
      </w:r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C65">
        <w:rPr>
          <w:rFonts w:ascii="Times New Roman" w:hAnsi="Tahoma" w:cs="Times New Roman"/>
          <w:sz w:val="28"/>
          <w:szCs w:val="28"/>
        </w:rPr>
        <w:t>﻿</w:t>
      </w:r>
      <w:r w:rsidRPr="00741C65"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2 апреля 2013 г. № 309 «О мерах по реализации отдельных положений Федерального закона «О противодействии коррупции» Министерство труда и социальной защиты РФ осуществляет оказание консультативной и методической помощи в реализации требований федеральных законов, нормативных правовых актов Президента РФ и Правительства РФ о противодействии коррупции, а также уполномочено издавать методические рекомендации и другие инструктивно-методические</w:t>
      </w:r>
      <w:proofErr w:type="gramEnd"/>
      <w:r w:rsidRPr="00741C65">
        <w:rPr>
          <w:rFonts w:ascii="Times New Roman" w:hAnsi="Times New Roman" w:cs="Times New Roman"/>
          <w:sz w:val="28"/>
          <w:szCs w:val="28"/>
        </w:rPr>
        <w:t xml:space="preserve"> материалы по данным вопросам.</w:t>
      </w:r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C65">
        <w:rPr>
          <w:rFonts w:ascii="Times New Roman" w:hAnsi="Times New Roman" w:cs="Times New Roman"/>
          <w:sz w:val="28"/>
          <w:szCs w:val="28"/>
        </w:rPr>
        <w:t>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г. № 47 федеральным государственным органам, органам государственной власти субъектов РФ, органам местного самоуправления, государственным корпорациям (компаниям), фондам и иным организациям, созданным РФ на основании законов, а также организациям, созданным для выполнения задач, поставленных перед федеральными государственными органами, поручено</w:t>
      </w:r>
      <w:proofErr w:type="gramEnd"/>
      <w:r w:rsidRPr="00741C65">
        <w:rPr>
          <w:rFonts w:ascii="Times New Roman" w:hAnsi="Times New Roman" w:cs="Times New Roman"/>
          <w:sz w:val="28"/>
          <w:szCs w:val="28"/>
        </w:rPr>
        <w:t xml:space="preserve">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65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РФ разработаны обновленные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2019 года (за отчетный 2018 год).</w:t>
      </w:r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65">
        <w:rPr>
          <w:rFonts w:ascii="Times New Roman" w:hAnsi="Times New Roman" w:cs="Times New Roman"/>
          <w:sz w:val="28"/>
          <w:szCs w:val="28"/>
        </w:rPr>
        <w:t> Методические рекомендации подготовлены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характера.</w:t>
      </w:r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65">
        <w:rPr>
          <w:rFonts w:ascii="Times New Roman" w:hAnsi="Times New Roman" w:cs="Times New Roman"/>
          <w:sz w:val="28"/>
          <w:szCs w:val="28"/>
        </w:rPr>
        <w:t xml:space="preserve">Представление таких сведений предусмотрено </w:t>
      </w:r>
      <w:proofErr w:type="spellStart"/>
      <w:r w:rsidRPr="00741C65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741C65">
        <w:rPr>
          <w:rFonts w:ascii="Times New Roman" w:hAnsi="Times New Roman" w:cs="Times New Roman"/>
          <w:sz w:val="28"/>
          <w:szCs w:val="28"/>
        </w:rPr>
        <w:t xml:space="preserve"> законодательством и распространяется, в частности, на лиц, замещающих государственные должности, государственных и муниципальных служащих, отдельных работников </w:t>
      </w:r>
      <w:proofErr w:type="spellStart"/>
      <w:r w:rsidRPr="00741C65">
        <w:rPr>
          <w:rFonts w:ascii="Times New Roman" w:hAnsi="Times New Roman" w:cs="Times New Roman"/>
          <w:sz w:val="28"/>
          <w:szCs w:val="28"/>
        </w:rPr>
        <w:t>госкорпораций</w:t>
      </w:r>
      <w:proofErr w:type="spellEnd"/>
      <w:r w:rsidRPr="00741C65">
        <w:rPr>
          <w:rFonts w:ascii="Times New Roman" w:hAnsi="Times New Roman" w:cs="Times New Roman"/>
          <w:sz w:val="28"/>
          <w:szCs w:val="28"/>
        </w:rPr>
        <w:t>, Банка России, Пенсионного фонда РФ, Фонда социального страхования РФ, Федерального фонда обязательного медицинского страхования.</w:t>
      </w:r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C65">
        <w:rPr>
          <w:rFonts w:ascii="Times New Roman" w:hAnsi="Times New Roman" w:cs="Times New Roman"/>
          <w:sz w:val="28"/>
          <w:szCs w:val="28"/>
        </w:rPr>
        <w:t>Гражданин представляет сведения о своих доходах, доходах супруги (супруга) и несовершеннолетних детей, сведения о недвижимом имуществе, транспортных средствах и ценных бумагах, отчужденных в течение указанного периода в результате безвозмездной сделки, сведения об имуществе, принадлежащем ему, его супруге (супругу) и несовершеннолетним детям, о счетах в банках, ценных бумагах, об обязательствах имущественного характера.</w:t>
      </w:r>
      <w:proofErr w:type="gramEnd"/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C65">
        <w:rPr>
          <w:rFonts w:ascii="Times New Roman" w:hAnsi="Times New Roman" w:cs="Times New Roman"/>
          <w:sz w:val="28"/>
          <w:szCs w:val="28"/>
        </w:rPr>
        <w:lastRenderedPageBreak/>
        <w:t>В обновленных Методический рекомендациях указано при представлении сведений в отношении супруги (супруга) учитывать положения статей 10 «Заключение брака» и 25 «Момент прекращения брака при его расторжении» Семейного кодекса РФ.</w:t>
      </w:r>
      <w:proofErr w:type="gramEnd"/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65">
        <w:rPr>
          <w:rFonts w:ascii="Times New Roman" w:hAnsi="Times New Roman" w:cs="Times New Roman"/>
          <w:sz w:val="28"/>
          <w:szCs w:val="28"/>
        </w:rPr>
        <w:t>В Методических рекомендациях приведена таблица, содержащая перечень ситуаций с учетом срока заключения (расторжения) брака, а также с учетом достижения ребенком возраста 18 лет, и рекомендуемые действия по представлению сведений.</w:t>
      </w:r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65">
        <w:rPr>
          <w:rFonts w:ascii="Times New Roman" w:hAnsi="Times New Roman" w:cs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представить соответствующее заявление в уполномоченный орган (кадровое подразделение).</w:t>
      </w:r>
    </w:p>
    <w:p w:rsidR="00741C65" w:rsidRPr="00741C65" w:rsidRDefault="00741C65" w:rsidP="00741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C65">
        <w:rPr>
          <w:rFonts w:ascii="Times New Roman" w:hAnsi="Times New Roman" w:cs="Times New Roman"/>
          <w:sz w:val="28"/>
          <w:szCs w:val="28"/>
        </w:rPr>
        <w:t>Методические рекомендации размещены на официальном сайте Министерства труда и социальной защиты РФ по адресу: </w:t>
      </w:r>
      <w:hyperlink r:id="rId4" w:history="1">
        <w:r w:rsidRPr="00741C65">
          <w:rPr>
            <w:rStyle w:val="a3"/>
            <w:rFonts w:ascii="Times New Roman" w:hAnsi="Times New Roman" w:cs="Times New Roman"/>
            <w:sz w:val="28"/>
            <w:szCs w:val="28"/>
          </w:rPr>
          <w:t>http://www.rosmintrud.ru/ministry/programms/anticorruption/9/5</w:t>
        </w:r>
      </w:hyperlink>
      <w:r w:rsidRPr="00741C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920" w:type="dxa"/>
        <w:tblCellMar>
          <w:left w:w="0" w:type="dxa"/>
          <w:right w:w="0" w:type="dxa"/>
        </w:tblCellMar>
        <w:tblLook w:val="04A0"/>
      </w:tblPr>
      <w:tblGrid>
        <w:gridCol w:w="10920"/>
      </w:tblGrid>
      <w:tr w:rsidR="00741C65" w:rsidRPr="00880626" w:rsidTr="001E7628">
        <w:trPr>
          <w:trHeight w:val="14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7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741C65" w:rsidRPr="00880626" w:rsidTr="000C6C1B">
              <w:trPr>
                <w:trHeight w:val="142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1068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80"/>
                  </w:tblGrid>
                  <w:tr w:rsidR="00741C65" w:rsidRPr="00880626" w:rsidTr="00741C65">
                    <w:trPr>
                      <w:trHeight w:val="1422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741C65" w:rsidRPr="00880626" w:rsidRDefault="00B23F07" w:rsidP="00741C65">
                        <w:pPr>
                          <w:spacing w:after="0" w:line="240" w:lineRule="auto"/>
                          <w:ind w:right="1204" w:firstLine="709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Ди</w:t>
                        </w:r>
                        <w:r w:rsidR="00741C65" w:rsidRPr="0088062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сциплинарная ответственность за непредставление или представление заведомо недостоверных и неполных сведений о доходах, расходах, об имуществе и обязательствах имущественного характера.</w:t>
                        </w:r>
                      </w:p>
                      <w:p w:rsidR="00741C65" w:rsidRPr="00880626" w:rsidRDefault="00741C65" w:rsidP="00741C65">
                        <w:pPr>
                          <w:tabs>
                            <w:tab w:val="left" w:pos="10348"/>
                          </w:tabs>
                          <w:spacing w:after="0" w:line="240" w:lineRule="auto"/>
                          <w:ind w:right="1202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Законодательство о противодействии коррупции устанавливает дисциплинарную ответственность в виде увольнения в связи с «утратой доверия» за непредставление или представление заведомо недостоверных и неполных сведений о доходах, расходах, об имуществе и обязательствах имущественного характера (далее сведения) служащим (работником) на себя лично и членов семьи (супруг (супруга), несовершеннолетние дети).</w:t>
                        </w:r>
                      </w:p>
                      <w:p w:rsidR="00741C65" w:rsidRPr="00880626" w:rsidRDefault="00741C65" w:rsidP="00741C65">
                        <w:pPr>
                          <w:tabs>
                            <w:tab w:val="left" w:pos="10348"/>
                          </w:tabs>
                          <w:spacing w:after="0" w:line="240" w:lineRule="auto"/>
                          <w:ind w:right="1202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В отношении служащих данная норма закреплена:</w:t>
                        </w:r>
                      </w:p>
                      <w:p w:rsidR="00741C65" w:rsidRPr="00880626" w:rsidRDefault="00741C65" w:rsidP="00B23F07">
                        <w:pPr>
                          <w:tabs>
                            <w:tab w:val="left" w:pos="10348"/>
                          </w:tabs>
                          <w:spacing w:after="0" w:line="240" w:lineRule="auto"/>
                          <w:ind w:right="1202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-п.9 ст.8 Федерального закона от 25.12.2008 № 273-ФЗ «О</w:t>
                        </w:r>
                        <w:r w:rsidR="00B23F07"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противодействии коррупции»;</w:t>
                        </w:r>
                      </w:p>
                      <w:p w:rsidR="00741C65" w:rsidRPr="00880626" w:rsidRDefault="00741C65" w:rsidP="00741C65">
                        <w:pPr>
                          <w:tabs>
                            <w:tab w:val="left" w:pos="10348"/>
                          </w:tabs>
                          <w:spacing w:after="0" w:line="240" w:lineRule="auto"/>
                          <w:ind w:right="1202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-п. 6.1. ст. 20 и подпункт 2 п. 1 ст. 59.2 Федерального закона от 27.07.2004 г. № 79-ФЗ «О государственной гражданской службе в Российской Федерации»;</w:t>
                        </w:r>
                      </w:p>
                      <w:p w:rsidR="00741C65" w:rsidRPr="00880626" w:rsidRDefault="00741C65" w:rsidP="001E7628">
                        <w:pPr>
                          <w:tabs>
                            <w:tab w:val="left" w:pos="10348"/>
                          </w:tabs>
                          <w:spacing w:after="0" w:line="240" w:lineRule="auto"/>
                          <w:ind w:right="1202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-п. 5 ст. 15 и п.2 ст. 27.1 Федерального закона от 02.03.2007 № 25-ФЗ «О муниципальной службе в Российской Федерации».</w:t>
                        </w:r>
                      </w:p>
                      <w:p w:rsidR="00741C65" w:rsidRPr="00880626" w:rsidRDefault="00741C65" w:rsidP="001E7628">
                        <w:pPr>
                          <w:spacing w:after="0" w:line="240" w:lineRule="auto"/>
                          <w:ind w:right="1202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  <w:proofErr w:type="gramStart"/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отношении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принимаются требования   п. 7.1. ст. 81 Трудового кодекса Российской Федерации, а также п. 9 ст.8 Федерального закона от 25.12.2008 № 273-ФЗ «О</w:t>
                        </w:r>
                        <w:proofErr w:type="gramEnd"/>
                        <w:r w:rsidR="00B23F07"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противодействии</w:t>
                        </w:r>
                        <w:proofErr w:type="gramEnd"/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коррупции».</w:t>
                        </w:r>
                      </w:p>
                      <w:p w:rsidR="00741C65" w:rsidRPr="00880626" w:rsidRDefault="00741C65" w:rsidP="001E7628">
                        <w:pPr>
                          <w:spacing w:after="0" w:line="240" w:lineRule="auto"/>
                          <w:ind w:right="1204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 Работодатель вправе применить к служащему (работнику) дисциплинарное взыскание в виде увольнения в связи с «утратой доверия» по результатам </w:t>
                        </w:r>
                        <w:proofErr w:type="gramStart"/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рассмотрения материалов проверки достоверности представленных сведений</w:t>
                        </w:r>
                        <w:proofErr w:type="gramEnd"/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Комиссией по соблюдению требований к служебному поведению и урегулированию конфликта интересов (далее Комиссия). При этом</w:t>
                        </w:r>
                        <w:proofErr w:type="gramStart"/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необходимым условием применения дисциплинарной ответственности является соразмерность взыскания содеянному (нарушению) и личности нарушителя. В этой связи при определении конкретного вида взыскания, которое подлежит применению, Комиссией учитываются следующие критерии:</w:t>
                        </w:r>
                      </w:p>
                      <w:p w:rsidR="00741C65" w:rsidRPr="00880626" w:rsidRDefault="00741C65" w:rsidP="001E7628">
                        <w:pPr>
                          <w:spacing w:after="0" w:line="240" w:lineRule="auto"/>
                          <w:ind w:right="1204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-характер и тяжесть совершенного нарушения;</w:t>
                        </w:r>
                      </w:p>
                      <w:p w:rsidR="00741C65" w:rsidRPr="00880626" w:rsidRDefault="00741C65" w:rsidP="001E7628">
                        <w:pPr>
                          <w:spacing w:after="0" w:line="240" w:lineRule="auto"/>
                          <w:ind w:right="1204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-обстоятельства, при которых совершено нарушение;</w:t>
                        </w:r>
                      </w:p>
                      <w:p w:rsidR="00741C65" w:rsidRPr="00880626" w:rsidRDefault="00741C65" w:rsidP="001E7628">
                        <w:pPr>
                          <w:spacing w:after="0" w:line="240" w:lineRule="auto"/>
                          <w:ind w:right="1204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-соблюдение служащим (работником) других запретов, исполнение других обязанностей, установленных в целях противодействия коррупции;</w:t>
                        </w:r>
                      </w:p>
                      <w:p w:rsidR="00741C65" w:rsidRPr="00880626" w:rsidRDefault="00741C65" w:rsidP="001E7628">
                        <w:pPr>
                          <w:spacing w:after="0" w:line="240" w:lineRule="auto"/>
                          <w:ind w:right="1204" w:firstLine="709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8062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 -предшествующие результаты исполнения служащим (работником) своих должностных обязанностей;</w:t>
                        </w:r>
                      </w:p>
                      <w:tbl>
                        <w:tblPr>
                          <w:tblW w:w="1056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60"/>
                        </w:tblGrid>
                        <w:tr w:rsidR="00741C65" w:rsidRPr="00880626" w:rsidTr="001E7628">
                          <w:trPr>
                            <w:trHeight w:val="1422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120" w:type="dxa"/>
                              </w:tcMar>
                              <w:hideMark/>
                            </w:tcPr>
                            <w:p w:rsidR="00741C65" w:rsidRPr="00880626" w:rsidRDefault="00741C65" w:rsidP="00741C65">
                              <w:pPr>
                                <w:spacing w:after="0" w:line="240" w:lineRule="auto"/>
                                <w:ind w:firstLine="709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 -характеристика служащего (работника), которая давалась его непосредственным руководителем.</w:t>
                              </w:r>
                            </w:p>
                            <w:tbl>
                              <w:tblPr>
                                <w:tblW w:w="104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440"/>
                              </w:tblGrid>
                              <w:tr w:rsidR="00741C65" w:rsidRPr="00880626" w:rsidTr="000C6C1B">
                                <w:trPr>
                                  <w:trHeight w:val="10365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741C65" w:rsidRPr="00880626" w:rsidRDefault="00741C65" w:rsidP="001E7628">
                                    <w:pPr>
                                      <w:tabs>
                                        <w:tab w:val="left" w:pos="9781"/>
                                      </w:tabs>
                                      <w:spacing w:after="0" w:line="240" w:lineRule="auto"/>
                                      <w:ind w:right="964" w:firstLine="70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 Таким образом</w:t>
                                    </w:r>
                                    <w:r w:rsidR="00B23F07"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применение меры дис</w:t>
                                    </w:r>
                                    <w:r w:rsidR="00B23F07"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циплинарной ответственности в </w:t>
                                    </w: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виде увольнения «в связи с утратой доверия» не является единственной и исключительной мерой дисциплинарной ответственности за непредставление, либо представление недостоверных и неполных сведений о доходах, расходах, об имуществе и обязательствах имущественного характера.</w:t>
                                    </w:r>
                                  </w:p>
                                  <w:p w:rsidR="00741C65" w:rsidRPr="00880626" w:rsidRDefault="00741C65" w:rsidP="001E7628">
                                    <w:pPr>
                                      <w:tabs>
                                        <w:tab w:val="left" w:pos="9781"/>
                                      </w:tabs>
                                      <w:spacing w:after="0" w:line="240" w:lineRule="auto"/>
                                      <w:ind w:right="964" w:firstLine="70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 В качестве обстоятельств смягчающих дисциплинарную ответственность могут послужить:</w:t>
                                    </w:r>
                                  </w:p>
                                  <w:p w:rsidR="00741C65" w:rsidRPr="00880626" w:rsidRDefault="00741C65" w:rsidP="001E7628">
                                    <w:pPr>
                                      <w:tabs>
                                        <w:tab w:val="left" w:pos="9781"/>
                                      </w:tabs>
                                      <w:spacing w:after="0" w:line="240" w:lineRule="auto"/>
                                      <w:ind w:right="964" w:firstLine="70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 -представление служащим (работником) недостоверных и (или) неполных сведений впервые;</w:t>
                                    </w:r>
                                  </w:p>
                                  <w:p w:rsidR="00741C65" w:rsidRPr="00880626" w:rsidRDefault="00741C65" w:rsidP="001E7628">
                                    <w:pPr>
                                      <w:tabs>
                                        <w:tab w:val="left" w:pos="9781"/>
                                      </w:tabs>
                                      <w:spacing w:after="0" w:line="240" w:lineRule="auto"/>
                                      <w:ind w:right="964" w:firstLine="70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 -безукоризненное соблюдение служащим (работником) в отчетном периоде других ограничений, запретов, исполнение обязанностей, установленных в целях противодействия коррупции;</w:t>
                                    </w:r>
                                  </w:p>
                                  <w:p w:rsidR="00741C65" w:rsidRPr="00880626" w:rsidRDefault="00741C65" w:rsidP="001E7628">
                                    <w:pPr>
                                      <w:tabs>
                                        <w:tab w:val="left" w:pos="9781"/>
                                      </w:tabs>
                                      <w:spacing w:after="0" w:line="240" w:lineRule="auto"/>
                                      <w:ind w:right="964" w:firstLine="70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 -добровольное сообщение о предоставленных неполных и (или) недостоверных сведений в подразделение по профилактике коррупционных и иных правонарушений до начала проверки, предусмотренной Указом Президента РФ от 21 сентября 2009 г. № 1065;</w:t>
                                    </w:r>
                                  </w:p>
                                  <w:p w:rsidR="00741C65" w:rsidRPr="00880626" w:rsidRDefault="00741C65" w:rsidP="001E7628">
                                    <w:pPr>
                                      <w:tabs>
                                        <w:tab w:val="left" w:pos="9781"/>
                                      </w:tabs>
                                      <w:spacing w:after="0" w:line="240" w:lineRule="auto"/>
                                      <w:ind w:right="964" w:firstLine="70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 -содействие служащего (работника) осуществляемым в ходе проверки мероприятиям, направленным на всестороннее изучение сведений, представленных в справке;</w:t>
                                    </w:r>
                                  </w:p>
                                  <w:p w:rsidR="00741C65" w:rsidRPr="00880626" w:rsidRDefault="00741C65" w:rsidP="001E7628">
                                    <w:pPr>
                                      <w:tabs>
                                        <w:tab w:val="left" w:pos="9781"/>
                                      </w:tabs>
                                      <w:spacing w:after="0" w:line="240" w:lineRule="auto"/>
                                      <w:ind w:right="964" w:firstLine="70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 -положительная характеристика служащего (работника), которая давалась его непосредственным руководителем.</w:t>
                                    </w:r>
                                  </w:p>
                                  <w:p w:rsidR="00741C65" w:rsidRPr="00880626" w:rsidRDefault="00741C65" w:rsidP="001E7628">
                                    <w:pPr>
                                      <w:spacing w:after="0" w:line="240" w:lineRule="auto"/>
                                      <w:ind w:right="964" w:firstLine="70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 При наличии смягчающих обстоятельств целесообразно применять взыскание, предшествующее по степени строгости взысканию в виде увольнения «в связи с утратой доверия»: выговор или неполное должностное соответствие.</w:t>
                                    </w:r>
                                  </w:p>
                                  <w:p w:rsidR="00741C65" w:rsidRPr="00880626" w:rsidRDefault="00741C65" w:rsidP="001E7628">
                                    <w:pPr>
                                      <w:spacing w:after="0" w:line="240" w:lineRule="auto"/>
                                      <w:ind w:right="964" w:firstLine="709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 Так же необходимо иметь </w:t>
                                    </w:r>
                                    <w:proofErr w:type="gramStart"/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ввиду</w:t>
                                    </w:r>
                                    <w:proofErr w:type="gramEnd"/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, что </w:t>
                                    </w:r>
                                    <w:proofErr w:type="gramStart"/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явные</w:t>
                                    </w:r>
                                    <w:proofErr w:type="gramEnd"/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неточности, ошибки и описки, допускаемые служащими (работниками), которые в целом не искажают достоверность представленных сведений</w:t>
                                    </w:r>
                                    <w:r w:rsidR="00B23F07"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,</w:t>
                                    </w: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то есть не носят характер заведомого сокрытия (умышленного сокрытия сведений) не могут служить основанием дисциплинарной ответственности. Однако на недопустимость таких неточностей служащему должно быть указано в устной форме.</w:t>
                                    </w:r>
                                  </w:p>
                                  <w:p w:rsidR="00741C65" w:rsidRPr="00880626" w:rsidRDefault="00741C65" w:rsidP="00741C65">
                                    <w:pPr>
                                      <w:spacing w:after="0" w:line="240" w:lineRule="auto"/>
                                      <w:ind w:firstLine="709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880626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4" w:firstLine="709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Коммерческий подкуп является одной из форм проявлений коррупционных преступлений наряду с уголовной ответственностью должностных лиц за получение или дачу взятки.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3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Анализ уголовно-правовой нормы коммерческого подкупа свидетельствует, что ст. 204 УК РФ объединяет два состава преступления: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3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1) незаконная передача лицу, выполняющему управленческие функции в коммерческой или иной организации, денег, ценных бумаг, иного имущества, оказание услуг имущественного характера, предоставление иных имущественных прав за совершение действий (бездействия) в интересах дающего в связи с занимаемым этим лицом служебным положением. В </w:t>
                              </w: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 xml:space="preserve">качестве квалифицирующих признаков данного преступления в </w:t>
                              </w:r>
                              <w:proofErr w:type="gramStart"/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</w:t>
                              </w:r>
                              <w:proofErr w:type="gramEnd"/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2 ст. 204 УК РФ предусмотрено совершение подкупа группой лиц по предварительному сговору или организованной группой либо за заведомо незаконные действия (бездействие);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3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2) 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(бездействия) в интересах дающего в связи с занимаемым этим лицом служебным положением. В качестве квалифицирующих признаков в ч. 4 ст. 204 УК РФ предусмотрены: совершение данного деяния группой лиц по предварительному сговору или организованной группой, либо сопряжено с вымогательством предмета подкупа, либо за незаконные действия (бездействие).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3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Предметом коммерческого подкупа выступает незаконное вознаграждение, передаваемое лицу, выполняющему управленческие функции в коммерческой или иной организации, за совершение действий (бездействия) в интересах дающего в связи с занимаемым этим лицом служебным положением. К видам вознаграждений относятся деньги, ценные бумаги, иное имущество, оказание услуг имущественного характера, предоставление иных имущественных прав.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3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Объективная сторона преступлений, предусмотренных ст. 204 УК РФ, включает в себя передачу предмета коммерческого подкупа (ч. ч. 1 - 4) и его получение (ч. ч. 5 - 8).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3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Часть 5 ст. 204 УК РФ предусматривает уголовную ответственность лица, выполняющего управленческие функции в коммерческой или иной организации, за незаконное получение им денег, ценных бумаг, иного имущества, а равно за незаконное пользование услугами имущественного характера, за совершение действий (бездействия) в интересах дающего в связи с занимаемым этим лицом служебным положением. Получением является принятие предмета подкупа, включая услуги имущественного характера, независимо от способа и момента принятия.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3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Уголовное законодательство предусматривает, что лицо, выполняющее управленческие функции в коммерческой или иной организации, совершает действие или бездействие, выражающееся в применении (уклонении от применения) возложенных на него обязанностей или предоставленных ему прав по управлению имуществом и (или) работой персонала, либо выходящее за круг его служебных обязанностей, но основанное на служебном авторитете, осведомленности, т.е. связанное с занимаемым положением.</w:t>
                              </w:r>
                              <w:proofErr w:type="gramEnd"/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4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Субъектом преступления, предусмотренного частями 1 - 4 ст. 204 УК РФ (незаконная передача имущества или незаконное оказание услуг), может быть любое физическое вменяемое лицо, достигшее к моменту передачи предмета коммерческого подкупа шестнадцатилетнего возраста.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4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Субъектом получения коммерческого подкупа, т.е. преступления, </w:t>
                              </w: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lastRenderedPageBreak/>
                                <w:t>предусмотренного частями 5 - 8 ст. 204 УК РФ, может быть только лицо, выполняющее управленческие функции в коммерческой или иной организации.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4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В частях 2 и 4 ст. 204 УК РФ предусмотрена ответственность за незаконный подкуп и получение вознаграждения. К ним законодатель отнес совершение данного деяния группой лиц по предварительному сговору, если подкуп совершен за заведомо незаконное действие (бездействие), а в </w:t>
                              </w:r>
                              <w:proofErr w:type="gramStart"/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ч</w:t>
                              </w:r>
                              <w:proofErr w:type="gramEnd"/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 4 рассматриваемой статьи предусмотрен квалифицирующий признак - сопряженное с вымогательством предмета подкупа.</w:t>
                              </w:r>
                            </w:p>
                            <w:p w:rsidR="00880626" w:rsidRPr="00880626" w:rsidRDefault="00880626" w:rsidP="00880626">
                              <w:pPr>
                                <w:spacing w:after="0" w:line="240" w:lineRule="auto"/>
                                <w:ind w:right="1084" w:firstLine="709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880626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Законодатель предусмотрел специальное примечание к ст. 204 УК РФ, согласно которому лицо, совершившее деяния, предусмотренные частями 1 - 4 статьи,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вымогательство, либо это лицо добровольно сообщило о подкупе органу, имеющему право возбудить уголовное дело.</w:t>
                              </w:r>
                              <w:proofErr w:type="gramEnd"/>
                            </w:p>
                            <w:p w:rsidR="00741C65" w:rsidRPr="00880626" w:rsidRDefault="00741C65" w:rsidP="0088062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741C65" w:rsidRPr="00880626" w:rsidRDefault="00741C65" w:rsidP="00741C65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41C65" w:rsidRPr="00880626" w:rsidRDefault="00741C65" w:rsidP="00741C65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41C65" w:rsidRPr="00880626" w:rsidRDefault="00741C65" w:rsidP="00741C6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EF1" w:rsidRPr="004D33D4" w:rsidRDefault="00815EF1" w:rsidP="0074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DCA" w:rsidRDefault="00677DCA"/>
    <w:sectPr w:rsidR="00677DCA" w:rsidSect="004C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EF1"/>
    <w:rsid w:val="001E7628"/>
    <w:rsid w:val="003B6D90"/>
    <w:rsid w:val="00677DCA"/>
    <w:rsid w:val="00741C65"/>
    <w:rsid w:val="00815EF1"/>
    <w:rsid w:val="00880626"/>
    <w:rsid w:val="00A728D6"/>
    <w:rsid w:val="00B23F07"/>
    <w:rsid w:val="00F2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C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mintrud.ru/ministry/programms/anticorruption/9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cp:lastPrinted>2019-04-15T07:02:00Z</cp:lastPrinted>
  <dcterms:created xsi:type="dcterms:W3CDTF">2019-04-15T07:08:00Z</dcterms:created>
  <dcterms:modified xsi:type="dcterms:W3CDTF">2019-06-04T13:24:00Z</dcterms:modified>
</cp:coreProperties>
</file>